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A6426" w:rsidRPr="00D2049A" w:rsidTr="00A664C2">
        <w:tc>
          <w:tcPr>
            <w:tcW w:w="9464" w:type="dxa"/>
          </w:tcPr>
          <w:p w:rsidR="008A6426" w:rsidRPr="00D2049A" w:rsidRDefault="006764DE" w:rsidP="006764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Lesprogramma </w:t>
            </w:r>
            <w:r w:rsidR="00183C3D">
              <w:rPr>
                <w:b/>
                <w:sz w:val="28"/>
                <w:szCs w:val="28"/>
              </w:rPr>
              <w:t>Katheteriseren</w:t>
            </w:r>
          </w:p>
        </w:tc>
      </w:tr>
      <w:tr w:rsidR="008A6426" w:rsidRPr="00D2049A" w:rsidTr="00A664C2">
        <w:tc>
          <w:tcPr>
            <w:tcW w:w="9464" w:type="dxa"/>
            <w:shd w:val="clear" w:color="auto" w:fill="DEEAF6" w:themeFill="accent1" w:themeFillTint="33"/>
          </w:tcPr>
          <w:p w:rsidR="008A6426" w:rsidRPr="00D2049A" w:rsidRDefault="008A6426" w:rsidP="006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049A">
              <w:rPr>
                <w:b/>
                <w:sz w:val="28"/>
                <w:szCs w:val="28"/>
              </w:rPr>
              <w:t>L</w:t>
            </w:r>
            <w:r w:rsidR="006764DE">
              <w:rPr>
                <w:b/>
                <w:sz w:val="28"/>
                <w:szCs w:val="28"/>
              </w:rPr>
              <w:t>eerdoelen</w:t>
            </w:r>
            <w:r w:rsidRPr="00D2049A">
              <w:rPr>
                <w:b/>
                <w:sz w:val="28"/>
                <w:szCs w:val="28"/>
              </w:rPr>
              <w:t>:</w:t>
            </w:r>
          </w:p>
        </w:tc>
      </w:tr>
      <w:tr w:rsidR="008A6426" w:rsidRPr="00D2049A" w:rsidTr="00A664C2">
        <w:tc>
          <w:tcPr>
            <w:tcW w:w="9464" w:type="dxa"/>
          </w:tcPr>
          <w:p w:rsidR="008A6426" w:rsidRDefault="008A6426" w:rsidP="00357DAC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</w:p>
          <w:p w:rsidR="00536C08" w:rsidRDefault="00536C08" w:rsidP="00536C08">
            <w:p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  <w:t>Katheteriseren</w:t>
            </w:r>
          </w:p>
          <w:p w:rsidR="004F7F24" w:rsidRPr="004F7F24" w:rsidRDefault="004F7F24" w:rsidP="00536C08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anatomie en de fysiologie van de urinewegen, nieren, urineleiders, blaas en urethra benoemen;</w:t>
            </w:r>
          </w:p>
          <w:p w:rsidR="00AC60E7" w:rsidRDefault="00AC60E7" w:rsidP="00FF0596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indicaties benoemen voor blaaskatheterisatie;</w:t>
            </w:r>
          </w:p>
          <w:p w:rsidR="00AC60E7" w:rsidRDefault="00AC60E7" w:rsidP="00FF0596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vormen van blaaskatheterisatie benoemen en toepassen;</w:t>
            </w:r>
          </w:p>
          <w:p w:rsidR="00AC60E7" w:rsidRDefault="00AC60E7" w:rsidP="00FF0596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observatiepunten benoemen bij blaaskatheterisatie;</w:t>
            </w:r>
          </w:p>
          <w:p w:rsidR="00AC60E7" w:rsidRDefault="00AC60E7" w:rsidP="00FF0596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aandachtpunten voor steriel en hygiënisch werken benoemen en uitvoeren;</w:t>
            </w:r>
          </w:p>
          <w:p w:rsidR="00AC60E7" w:rsidRDefault="00AC60E7" w:rsidP="00FF0596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complicaties herkennen bij blaaskatheterisatie;</w:t>
            </w:r>
          </w:p>
          <w:p w:rsidR="00AC60E7" w:rsidRDefault="00AC60E7" w:rsidP="00FF0596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de verschillende urineopvangzakken hanteren en voor – en nadelen benoemen;</w:t>
            </w:r>
          </w:p>
          <w:p w:rsidR="009B6159" w:rsidRPr="009B6159" w:rsidRDefault="00AC60E7" w:rsidP="009B6159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benoemen hoe urine opgevangen en getest kan worden;</w:t>
            </w:r>
          </w:p>
          <w:p w:rsidR="009B6159" w:rsidRDefault="009B6159" w:rsidP="009B615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  <w:t>Suprapubische verblijfskatheter</w:t>
            </w:r>
          </w:p>
          <w:p w:rsidR="009B6159" w:rsidRDefault="009B6159" w:rsidP="009B6159">
            <w:pPr>
              <w:pStyle w:val="Lijstalinea"/>
              <w:numPr>
                <w:ilvl w:val="0"/>
                <w:numId w:val="12"/>
              </w:num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observatiepunten en aandachtspunten voor het verwisselen en verzorgen van de suprapubische verblijfskatheter benoemen;</w:t>
            </w:r>
          </w:p>
          <w:p w:rsidR="009B6159" w:rsidRPr="009B6159" w:rsidRDefault="009B6159" w:rsidP="009B6159">
            <w:pPr>
              <w:pStyle w:val="Lijstalinea"/>
              <w:numPr>
                <w:ilvl w:val="0"/>
                <w:numId w:val="12"/>
              </w:num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complicaties herkennen bij het verwisselen en verzorgen van de suprapubische verblijfskatheter;</w:t>
            </w:r>
          </w:p>
          <w:p w:rsidR="00536C08" w:rsidRPr="00536C08" w:rsidRDefault="00536C08" w:rsidP="00FF0596">
            <w:p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  <w:t>Blaasspoelen</w:t>
            </w:r>
          </w:p>
          <w:p w:rsidR="00536C08" w:rsidRDefault="00536C08" w:rsidP="00FF0596">
            <w:pPr>
              <w:pStyle w:val="Lijstalinea"/>
              <w:numPr>
                <w:ilvl w:val="0"/>
                <w:numId w:val="11"/>
              </w:numPr>
              <w:spacing w:after="0"/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</w:t>
            </w:r>
            <w:r w:rsidR="00FF0596">
              <w:rPr>
                <w:rFonts w:ascii="Century Gothic" w:hAnsi="Century Gothic" w:cs="Arial"/>
                <w:sz w:val="20"/>
                <w:szCs w:val="20"/>
              </w:rPr>
              <w:t xml:space="preserve"> deelnemer kan de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53AC">
              <w:rPr>
                <w:rFonts w:ascii="Century Gothic" w:hAnsi="Century Gothic" w:cs="Arial"/>
                <w:sz w:val="20"/>
                <w:szCs w:val="20"/>
              </w:rPr>
              <w:t>indicaties</w:t>
            </w:r>
            <w:r w:rsidR="004F7F24">
              <w:rPr>
                <w:rFonts w:ascii="Century Gothic" w:hAnsi="Century Gothic" w:cs="Arial"/>
                <w:sz w:val="20"/>
                <w:szCs w:val="20"/>
              </w:rPr>
              <w:t xml:space="preserve"> voor</w:t>
            </w:r>
            <w:r w:rsidR="00FF0596">
              <w:rPr>
                <w:rFonts w:ascii="Century Gothic" w:hAnsi="Century Gothic" w:cs="Arial"/>
                <w:sz w:val="20"/>
                <w:szCs w:val="20"/>
              </w:rPr>
              <w:t xml:space="preserve"> blaasspoelen benoemen;</w:t>
            </w:r>
          </w:p>
          <w:p w:rsidR="00536C08" w:rsidRDefault="00FF0596" w:rsidP="00FF0596">
            <w:pPr>
              <w:pStyle w:val="Lijstalinea"/>
              <w:numPr>
                <w:ilvl w:val="0"/>
                <w:numId w:val="11"/>
              </w:numPr>
              <w:spacing w:after="0"/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de o</w:t>
            </w:r>
            <w:r w:rsidR="00536C08">
              <w:rPr>
                <w:rFonts w:ascii="Century Gothic" w:hAnsi="Century Gothic" w:cs="Arial"/>
                <w:sz w:val="20"/>
                <w:szCs w:val="20"/>
              </w:rPr>
              <w:t>orzaken van een verstopte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katheter herkennen en benoemen;</w:t>
            </w:r>
          </w:p>
          <w:p w:rsidR="00536C08" w:rsidRDefault="00536C08" w:rsidP="00FF0596">
            <w:pPr>
              <w:pStyle w:val="Lijstalinea"/>
              <w:numPr>
                <w:ilvl w:val="0"/>
                <w:numId w:val="11"/>
              </w:numPr>
              <w:spacing w:after="0"/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</w:t>
            </w:r>
            <w:r w:rsidR="00FF0596">
              <w:rPr>
                <w:rFonts w:ascii="Century Gothic" w:hAnsi="Century Gothic" w:cs="Arial"/>
                <w:sz w:val="20"/>
                <w:szCs w:val="20"/>
              </w:rPr>
              <w:t xml:space="preserve"> deelnemer kan </w:t>
            </w:r>
            <w:r>
              <w:rPr>
                <w:rFonts w:ascii="Century Gothic" w:hAnsi="Century Gothic" w:cs="Arial"/>
                <w:sz w:val="20"/>
                <w:szCs w:val="20"/>
              </w:rPr>
              <w:t>verschillende spoelvloeistoffen en</w:t>
            </w:r>
            <w:r w:rsidR="00FF0596">
              <w:rPr>
                <w:rFonts w:ascii="Century Gothic" w:hAnsi="Century Gothic" w:cs="Arial"/>
                <w:sz w:val="20"/>
                <w:szCs w:val="20"/>
              </w:rPr>
              <w:t xml:space="preserve"> methoden benoemen en toepassen;</w:t>
            </w:r>
          </w:p>
          <w:p w:rsidR="00536C08" w:rsidRDefault="00FF0596" w:rsidP="00FF0596">
            <w:pPr>
              <w:pStyle w:val="Lijstalinea"/>
              <w:numPr>
                <w:ilvl w:val="0"/>
                <w:numId w:val="11"/>
              </w:numPr>
              <w:spacing w:after="0"/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 deelnemer kan </w:t>
            </w:r>
            <w:r w:rsidR="00536C08">
              <w:rPr>
                <w:rFonts w:ascii="Century Gothic" w:hAnsi="Century Gothic" w:cs="Arial"/>
                <w:sz w:val="20"/>
                <w:szCs w:val="20"/>
              </w:rPr>
              <w:t>observatiep</w:t>
            </w:r>
            <w:r w:rsidR="00B553AC">
              <w:rPr>
                <w:rFonts w:ascii="Century Gothic" w:hAnsi="Century Gothic" w:cs="Arial"/>
                <w:sz w:val="20"/>
                <w:szCs w:val="20"/>
              </w:rPr>
              <w:t>unten bij blaasspoelen benoemen;</w:t>
            </w:r>
          </w:p>
          <w:p w:rsidR="00B553AC" w:rsidRDefault="00B553AC" w:rsidP="00FF0596">
            <w:pPr>
              <w:pStyle w:val="Lijstalinea"/>
              <w:numPr>
                <w:ilvl w:val="0"/>
                <w:numId w:val="11"/>
              </w:numPr>
              <w:spacing w:after="0"/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aandachtpunten bij blaasspoelen benoemen;</w:t>
            </w:r>
          </w:p>
          <w:p w:rsidR="00B553AC" w:rsidRDefault="00B553AC" w:rsidP="00FF0596">
            <w:pPr>
              <w:pStyle w:val="Lijstalinea"/>
              <w:numPr>
                <w:ilvl w:val="0"/>
                <w:numId w:val="11"/>
              </w:numPr>
              <w:spacing w:after="0"/>
              <w:ind w:left="357" w:hanging="35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 deelnemer kan complicaties herkennen bij blaa</w:t>
            </w:r>
            <w:r w:rsidR="00634326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spoelen;</w:t>
            </w:r>
          </w:p>
          <w:p w:rsidR="00FF0596" w:rsidRPr="00FF0596" w:rsidRDefault="00FF0596" w:rsidP="00FF059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</w:p>
          <w:p w:rsidR="00FF0596" w:rsidRPr="00536C08" w:rsidRDefault="00FF0596" w:rsidP="00FF0596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aandachtspunten benoemen bij de voorbereiding, uitvoering  en evaluatie van de handelingen;</w:t>
            </w:r>
          </w:p>
          <w:p w:rsidR="008A6426" w:rsidRPr="00C20782" w:rsidRDefault="00C20782" w:rsidP="00FF0596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handeling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en katheteriseren man, katheteriseren vrouw, verwisselen en verzorgen van de suprapubische verblijfskatheter en blaasspoelen</w:t>
            </w:r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voorbereiden, uitvoeren en evalueren volgens het </w:t>
            </w:r>
            <w:proofErr w:type="spellStart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Vilans</w:t>
            </w:r>
            <w:proofErr w:type="spellEnd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protocol.</w:t>
            </w:r>
          </w:p>
        </w:tc>
      </w:tr>
    </w:tbl>
    <w:p w:rsidR="008A6426" w:rsidRDefault="008A6426" w:rsidP="008A6426">
      <w:pPr>
        <w:spacing w:after="0"/>
        <w:rPr>
          <w:b/>
          <w:sz w:val="24"/>
          <w:szCs w:val="24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1411"/>
        <w:gridCol w:w="1033"/>
        <w:gridCol w:w="2409"/>
        <w:gridCol w:w="3848"/>
      </w:tblGrid>
      <w:tr w:rsidR="008A6426" w:rsidRPr="00AF0C48" w:rsidTr="00132E9F">
        <w:trPr>
          <w:trHeight w:val="144"/>
        </w:trPr>
        <w:tc>
          <w:tcPr>
            <w:tcW w:w="9513" w:type="dxa"/>
            <w:gridSpan w:val="5"/>
            <w:shd w:val="clear" w:color="auto" w:fill="DEEAF6" w:themeFill="accent1" w:themeFillTint="33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0C48">
              <w:rPr>
                <w:b/>
                <w:sz w:val="28"/>
                <w:szCs w:val="28"/>
              </w:rPr>
              <w:t>Procedure:</w:t>
            </w:r>
          </w:p>
        </w:tc>
      </w:tr>
      <w:tr w:rsidR="008A6426" w:rsidRPr="00AF0C48" w:rsidTr="00132E9F">
        <w:trPr>
          <w:trHeight w:val="643"/>
        </w:trPr>
        <w:tc>
          <w:tcPr>
            <w:tcW w:w="812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Tij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444" w:type="dxa"/>
            <w:gridSpan w:val="2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Onderdeel</w:t>
            </w:r>
          </w:p>
        </w:tc>
        <w:tc>
          <w:tcPr>
            <w:tcW w:w="2409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Didactische werkvorm</w:t>
            </w:r>
          </w:p>
        </w:tc>
        <w:tc>
          <w:tcPr>
            <w:tcW w:w="3848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Deelnemer</w:t>
            </w:r>
            <w:r w:rsidRPr="00AF0C48">
              <w:rPr>
                <w:b/>
                <w:sz w:val="24"/>
                <w:szCs w:val="24"/>
              </w:rPr>
              <w:t>/docent activiteit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A664C2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="00AD7125">
              <w:rPr>
                <w:rFonts w:ascii="Century Gothic" w:hAnsi="Century Gothic"/>
                <w:sz w:val="20"/>
                <w:szCs w:val="20"/>
              </w:rPr>
              <w:t xml:space="preserve">0 </w:t>
            </w:r>
            <w:r w:rsidR="006764DE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8A6426" w:rsidRDefault="006764DE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Theorie</w:t>
            </w:r>
            <w:r w:rsidR="00525E51">
              <w:rPr>
                <w:rFonts w:ascii="Century Gothic" w:hAnsi="Century Gothic"/>
                <w:sz w:val="20"/>
                <w:szCs w:val="20"/>
              </w:rPr>
              <w:t>/Voorbereiding</w:t>
            </w:r>
          </w:p>
          <w:p w:rsidR="00A664C2" w:rsidRPr="00A664C2" w:rsidRDefault="00BD62C6" w:rsidP="00A664C2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664C2">
              <w:rPr>
                <w:rFonts w:ascii="Century Gothic" w:hAnsi="Century Gothic"/>
                <w:sz w:val="20"/>
                <w:szCs w:val="20"/>
              </w:rPr>
              <w:t xml:space="preserve">Modules: </w:t>
            </w:r>
            <w:r w:rsidR="00A664C2" w:rsidRPr="00A664C2">
              <w:rPr>
                <w:rFonts w:ascii="Century Gothic" w:hAnsi="Century Gothic"/>
                <w:sz w:val="20"/>
                <w:szCs w:val="20"/>
              </w:rPr>
              <w:t>Katheteriseren</w:t>
            </w:r>
            <w:r w:rsidR="00A664C2">
              <w:rPr>
                <w:rFonts w:ascii="Century Gothic" w:hAnsi="Century Gothic"/>
                <w:sz w:val="20"/>
                <w:szCs w:val="20"/>
              </w:rPr>
              <w:t xml:space="preserve"> (60 min)</w:t>
            </w:r>
          </w:p>
          <w:p w:rsidR="00A664C2" w:rsidRPr="00A664C2" w:rsidRDefault="00A664C2" w:rsidP="00A664C2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664C2">
              <w:rPr>
                <w:rFonts w:ascii="Century Gothic" w:hAnsi="Century Gothic"/>
                <w:sz w:val="20"/>
                <w:szCs w:val="20"/>
              </w:rPr>
              <w:t>S</w:t>
            </w:r>
            <w:r w:rsidR="00FA0777" w:rsidRPr="00A664C2">
              <w:rPr>
                <w:rFonts w:ascii="Century Gothic" w:hAnsi="Century Gothic"/>
                <w:sz w:val="20"/>
                <w:szCs w:val="20"/>
              </w:rPr>
              <w:t>uprapubische</w:t>
            </w:r>
            <w:proofErr w:type="spellEnd"/>
            <w:r w:rsidR="00FA0777" w:rsidRPr="00A664C2">
              <w:rPr>
                <w:rFonts w:ascii="Century Gothic" w:hAnsi="Century Gothic"/>
                <w:sz w:val="20"/>
                <w:szCs w:val="20"/>
              </w:rPr>
              <w:t xml:space="preserve"> verblijfskatheter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(60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min)</w:t>
            </w:r>
          </w:p>
          <w:p w:rsidR="00BD62C6" w:rsidRPr="00A664C2" w:rsidRDefault="00A664C2" w:rsidP="00A664C2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664C2">
              <w:rPr>
                <w:rFonts w:ascii="Century Gothic" w:hAnsi="Century Gothic"/>
                <w:sz w:val="20"/>
                <w:szCs w:val="20"/>
              </w:rPr>
              <w:t>B</w:t>
            </w:r>
            <w:r w:rsidR="00FA0777" w:rsidRPr="00A664C2">
              <w:rPr>
                <w:rFonts w:ascii="Century Gothic" w:hAnsi="Century Gothic"/>
                <w:sz w:val="20"/>
                <w:szCs w:val="20"/>
              </w:rPr>
              <w:t>laasspoelen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(60 min)</w:t>
            </w:r>
          </w:p>
        </w:tc>
        <w:tc>
          <w:tcPr>
            <w:tcW w:w="2409" w:type="dxa"/>
          </w:tcPr>
          <w:p w:rsidR="008A6426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E-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toets</w:t>
            </w:r>
          </w:p>
        </w:tc>
        <w:tc>
          <w:tcPr>
            <w:tcW w:w="3848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 deelnemer doorloopt voorafgaand aan de praktijktraining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en maakt een theoretische toets.</w:t>
            </w:r>
          </w:p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4DE" w:rsidRPr="00AF0C48" w:rsidTr="00132E9F">
        <w:trPr>
          <w:trHeight w:val="184"/>
        </w:trPr>
        <w:tc>
          <w:tcPr>
            <w:tcW w:w="812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 min</w:t>
            </w:r>
          </w:p>
        </w:tc>
        <w:tc>
          <w:tcPr>
            <w:tcW w:w="2444" w:type="dxa"/>
            <w:gridSpan w:val="2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Inleiding</w:t>
            </w:r>
          </w:p>
        </w:tc>
        <w:tc>
          <w:tcPr>
            <w:tcW w:w="2409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Kennismaken</w:t>
            </w:r>
          </w:p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Doel van de les en programma toelichten.</w:t>
            </w:r>
          </w:p>
        </w:tc>
        <w:tc>
          <w:tcPr>
            <w:tcW w:w="3848" w:type="dxa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 docent licht het doel en programma toe.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8A6426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5C07A9">
              <w:rPr>
                <w:rFonts w:ascii="Century Gothic" w:hAnsi="Century Gothic"/>
                <w:sz w:val="20"/>
                <w:szCs w:val="20"/>
              </w:rPr>
              <w:t>0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Terugblik op theorie</w:t>
            </w:r>
          </w:p>
        </w:tc>
        <w:tc>
          <w:tcPr>
            <w:tcW w:w="2409" w:type="dxa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Onderwijsleergesprek</w:t>
            </w:r>
          </w:p>
        </w:tc>
        <w:tc>
          <w:tcPr>
            <w:tcW w:w="3848" w:type="dxa"/>
          </w:tcPr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Vragen beantwoorden naar aanleiding van de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764DE"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 w:rsidR="006764DE">
              <w:rPr>
                <w:rFonts w:ascii="Century Gothic" w:hAnsi="Century Gothic"/>
                <w:sz w:val="20"/>
                <w:szCs w:val="20"/>
              </w:rPr>
              <w:t xml:space="preserve"> module.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Docent gaat in op de aandachtspunten en complicaties tijdens de handeling</w:t>
            </w:r>
            <w:r w:rsidR="00FA0777">
              <w:rPr>
                <w:rFonts w:ascii="Century Gothic" w:hAnsi="Century Gothic"/>
                <w:sz w:val="20"/>
                <w:szCs w:val="20"/>
              </w:rPr>
              <w:t>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25E51" w:rsidRPr="00564B48" w:rsidTr="00132E9F">
        <w:trPr>
          <w:trHeight w:val="144"/>
        </w:trPr>
        <w:tc>
          <w:tcPr>
            <w:tcW w:w="812" w:type="dxa"/>
          </w:tcPr>
          <w:p w:rsidR="00525E51" w:rsidRPr="0055715A" w:rsidRDefault="00F856EB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De docent geeft, als daar vraag naar is, een demonstratie 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Demonstratie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de </w:t>
            </w:r>
            <w:r w:rsidR="004F7F24">
              <w:rPr>
                <w:rFonts w:ascii="Century Gothic" w:hAnsi="Century Gothic"/>
                <w:sz w:val="20"/>
                <w:szCs w:val="20"/>
              </w:rPr>
              <w:t xml:space="preserve">handeling </w:t>
            </w:r>
            <w:r w:rsidR="00AC60E7">
              <w:rPr>
                <w:rFonts w:ascii="Century Gothic" w:hAnsi="Century Gothic"/>
                <w:sz w:val="20"/>
                <w:szCs w:val="20"/>
              </w:rPr>
              <w:t>katheteriseren en blaasspoelen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demonstreert de handeling</w:t>
            </w:r>
            <w:r w:rsidR="00AC60E7">
              <w:rPr>
                <w:rFonts w:ascii="Century Gothic" w:hAnsi="Century Gothic"/>
                <w:sz w:val="20"/>
                <w:szCs w:val="20"/>
              </w:rPr>
              <w:t>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stelt vragen aan de deelnemers.</w:t>
            </w:r>
          </w:p>
        </w:tc>
      </w:tr>
      <w:tr w:rsidR="00525E51" w:rsidRPr="00AF0C48" w:rsidTr="00132E9F">
        <w:trPr>
          <w:trHeight w:val="144"/>
        </w:trPr>
        <w:tc>
          <w:tcPr>
            <w:tcW w:w="812" w:type="dxa"/>
          </w:tcPr>
          <w:p w:rsidR="00525E51" w:rsidRPr="0055715A" w:rsidRDefault="005C07A9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  <w:r w:rsidR="00E52E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25E51" w:rsidRPr="00FB35F6" w:rsidRDefault="00525E51" w:rsidP="00525E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Oefenen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5E51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B35F6">
              <w:rPr>
                <w:rFonts w:ascii="Century Gothic" w:hAnsi="Century Gothic"/>
                <w:sz w:val="20"/>
                <w:szCs w:val="20"/>
              </w:rPr>
              <w:t>Oefenen van de handeling</w:t>
            </w:r>
            <w:r>
              <w:rPr>
                <w:rFonts w:ascii="Century Gothic" w:hAnsi="Century Gothic"/>
                <w:sz w:val="20"/>
                <w:szCs w:val="20"/>
              </w:rPr>
              <w:t>en: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Voorbereiden handeling</w:t>
            </w:r>
          </w:p>
          <w:p w:rsidR="00AC60E7" w:rsidRPr="009B6159" w:rsidRDefault="002C5801" w:rsidP="009B615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Inlichten cliënt</w:t>
            </w:r>
            <w:bookmarkStart w:id="0" w:name="_GoBack"/>
            <w:bookmarkEnd w:id="0"/>
          </w:p>
          <w:p w:rsidR="002C5801" w:rsidRPr="00AC60E7" w:rsidRDefault="002C5801" w:rsidP="00AC60E7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C60E7">
              <w:rPr>
                <w:rFonts w:ascii="Century Gothic" w:hAnsi="Century Gothic"/>
                <w:sz w:val="20"/>
                <w:szCs w:val="20"/>
              </w:rPr>
              <w:t>uitvoeren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Nazorg</w:t>
            </w:r>
          </w:p>
          <w:p w:rsidR="00525E51" w:rsidRPr="00951E1B" w:rsidRDefault="00525E51" w:rsidP="00525E51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zet de materialen klaar, de deelnemers pakken de benodigde materialen en oefenen de handeling. met behulp van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observatielijsten van </w:t>
            </w:r>
            <w:proofErr w:type="spellStart"/>
            <w:r w:rsidRPr="0055715A">
              <w:rPr>
                <w:rFonts w:ascii="Century Gothic" w:hAnsi="Century Gothic"/>
                <w:sz w:val="20"/>
                <w:szCs w:val="20"/>
              </w:rPr>
              <w:t>Vilans</w:t>
            </w:r>
            <w:proofErr w:type="spellEnd"/>
            <w:r w:rsidRPr="0055715A">
              <w:rPr>
                <w:rFonts w:ascii="Century Gothic" w:hAnsi="Century Gothic"/>
                <w:sz w:val="20"/>
                <w:szCs w:val="20"/>
              </w:rPr>
              <w:t>. Eén persoon is de observator en geeft feedback op de uitvoering van de handeling. De docent bewaakt het proces en stuurt waar nodig bij.</w:t>
            </w:r>
          </w:p>
        </w:tc>
      </w:tr>
      <w:tr w:rsidR="00525E51" w:rsidRPr="00AF0C48" w:rsidTr="00132E9F">
        <w:trPr>
          <w:trHeight w:val="1470"/>
        </w:trPr>
        <w:tc>
          <w:tcPr>
            <w:tcW w:w="812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55715A">
              <w:rPr>
                <w:rFonts w:ascii="Century Gothic" w:hAnsi="Century Gothic"/>
                <w:sz w:val="20"/>
                <w:szCs w:val="20"/>
              </w:rPr>
              <w:t>0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deelnemers toetsen elkaar op de handelingen in 2 tallen. De een voert de handeling uit en de ander vult de observatielijst in en 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eeft feedback op de handeling.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De docent bewaakt het proces.</w:t>
            </w:r>
          </w:p>
        </w:tc>
      </w:tr>
      <w:tr w:rsidR="00525E51" w:rsidRPr="00AF0C48" w:rsidTr="00132E9F">
        <w:trPr>
          <w:trHeight w:val="15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F856EB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Evaluatie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Groepsgesprek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Uitwisselen ervaringen van het oefenen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toetsen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en mening over de les ventileren.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ij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voldoende beoordeling wordt direct het certificaat uitgereikt aan de deelnemers.</w:t>
            </w:r>
          </w:p>
        </w:tc>
      </w:tr>
      <w:tr w:rsidR="00A664C2" w:rsidRPr="00FB35F6" w:rsidTr="00B44B12">
        <w:trPr>
          <w:trHeight w:val="585"/>
        </w:trPr>
        <w:tc>
          <w:tcPr>
            <w:tcW w:w="2223" w:type="dxa"/>
            <w:gridSpan w:val="2"/>
          </w:tcPr>
          <w:p w:rsidR="00A664C2" w:rsidRPr="00FB35F6" w:rsidRDefault="00A664C2" w:rsidP="00B44B1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tijd praktijkbijeenkomst</w:t>
            </w:r>
          </w:p>
        </w:tc>
        <w:tc>
          <w:tcPr>
            <w:tcW w:w="7290" w:type="dxa"/>
            <w:gridSpan w:val="3"/>
          </w:tcPr>
          <w:p w:rsidR="00A664C2" w:rsidRDefault="00A664C2" w:rsidP="005C0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5C07A9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0 minuten</w:t>
            </w:r>
          </w:p>
        </w:tc>
      </w:tr>
      <w:tr w:rsidR="00A664C2" w:rsidRPr="00FB35F6" w:rsidTr="00B44B12">
        <w:trPr>
          <w:trHeight w:val="585"/>
        </w:trPr>
        <w:tc>
          <w:tcPr>
            <w:tcW w:w="2223" w:type="dxa"/>
            <w:gridSpan w:val="2"/>
          </w:tcPr>
          <w:p w:rsidR="00A664C2" w:rsidRPr="00FB35F6" w:rsidRDefault="00A664C2" w:rsidP="00B44B1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Totale tijd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praktijkbijeenk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3"/>
          </w:tcPr>
          <w:p w:rsidR="00A664C2" w:rsidRDefault="005C07A9" w:rsidP="005C07A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="00A664C2">
              <w:rPr>
                <w:rFonts w:ascii="Century Gothic" w:hAnsi="Century Gothic"/>
                <w:sz w:val="20"/>
                <w:szCs w:val="20"/>
              </w:rPr>
              <w:t>0 minuten = 5 uur</w:t>
            </w:r>
          </w:p>
        </w:tc>
      </w:tr>
      <w:tr w:rsidR="00525E51" w:rsidRPr="00FB35F6" w:rsidTr="00132E9F">
        <w:trPr>
          <w:trHeight w:val="585"/>
        </w:trPr>
        <w:tc>
          <w:tcPr>
            <w:tcW w:w="2223" w:type="dxa"/>
            <w:gridSpan w:val="2"/>
          </w:tcPr>
          <w:p w:rsidR="00525E51" w:rsidRPr="00FB35F6" w:rsidRDefault="00525E51" w:rsidP="00525E5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B35F6">
              <w:rPr>
                <w:rFonts w:ascii="Century Gothic" w:hAnsi="Century Gothic"/>
                <w:b/>
                <w:sz w:val="20"/>
                <w:szCs w:val="20"/>
              </w:rPr>
              <w:t>Benodigdheden</w:t>
            </w:r>
          </w:p>
        </w:tc>
        <w:tc>
          <w:tcPr>
            <w:tcW w:w="7290" w:type="dxa"/>
            <w:gridSpan w:val="3"/>
          </w:tcPr>
          <w:p w:rsidR="00FA0777" w:rsidRPr="00FA0777" w:rsidRDefault="00FA0777" w:rsidP="00FA0777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Katheteriseren</w:t>
            </w:r>
          </w:p>
          <w:p w:rsidR="00FA0777" w:rsidRPr="004F7F24" w:rsidRDefault="004F7F24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Steriele Kathetersets</w:t>
            </w:r>
          </w:p>
          <w:p w:rsidR="004F7F24" w:rsidRPr="004F7F24" w:rsidRDefault="004F7F24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F7F24">
              <w:rPr>
                <w:rFonts w:ascii="Century Gothic" w:hAnsi="Century Gothic" w:cs="Arial"/>
                <w:sz w:val="20"/>
                <w:szCs w:val="20"/>
              </w:rPr>
              <w:t>Katheters</w:t>
            </w:r>
          </w:p>
          <w:p w:rsidR="00FA0777" w:rsidRPr="008F1D25" w:rsidRDefault="00FA0777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Urineopvangzak</w:t>
            </w:r>
          </w:p>
          <w:p w:rsidR="00FA0777" w:rsidRPr="008F1D25" w:rsidRDefault="00FA0777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Kocher</w:t>
            </w:r>
          </w:p>
          <w:p w:rsidR="00FA0777" w:rsidRPr="008F1D25" w:rsidRDefault="00FA0777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Steriele handschoenen</w:t>
            </w:r>
          </w:p>
          <w:p w:rsidR="00FA0777" w:rsidRPr="008F1D25" w:rsidRDefault="00FA0777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Onderlegger</w:t>
            </w:r>
          </w:p>
          <w:p w:rsidR="00FA0777" w:rsidRPr="003257D4" w:rsidRDefault="00FA0777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Niet steriele handschoenen</w:t>
            </w:r>
          </w:p>
          <w:p w:rsidR="00FA0777" w:rsidRPr="004F7F24" w:rsidRDefault="00FA0777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Testmateriaal urine</w:t>
            </w:r>
          </w:p>
          <w:p w:rsidR="004F7F24" w:rsidRPr="004F7F24" w:rsidRDefault="004F7F24" w:rsidP="00FA0777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Gazen/splitgazen</w:t>
            </w:r>
          </w:p>
          <w:p w:rsidR="00525E51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A0777" w:rsidRPr="00FA0777" w:rsidRDefault="00FA0777" w:rsidP="00525E5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A0777">
              <w:rPr>
                <w:rFonts w:ascii="Century Gothic" w:hAnsi="Century Gothic"/>
                <w:b/>
                <w:sz w:val="20"/>
                <w:szCs w:val="20"/>
              </w:rPr>
              <w:t>Blaasspoelen</w:t>
            </w:r>
          </w:p>
          <w:p w:rsidR="00FA0777" w:rsidRDefault="00FA0777" w:rsidP="00FA0777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Spoelvloeistofzakjes</w:t>
            </w:r>
          </w:p>
          <w:p w:rsidR="00FA0777" w:rsidRDefault="00FA0777" w:rsidP="00FA0777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Onderlegger</w:t>
            </w:r>
          </w:p>
          <w:p w:rsidR="00FA0777" w:rsidRDefault="00FA0777" w:rsidP="00FA0777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Opvangbak</w:t>
            </w:r>
          </w:p>
          <w:p w:rsidR="00FA0777" w:rsidRDefault="00FA0777" w:rsidP="00FA0777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Niet-steriele handschoenen</w:t>
            </w:r>
          </w:p>
          <w:p w:rsidR="00FA0777" w:rsidRDefault="00FA0777" w:rsidP="00FA0777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Alcohol 70%</w:t>
            </w:r>
          </w:p>
          <w:p w:rsidR="00FA0777" w:rsidRDefault="00FA0777" w:rsidP="00FA0777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Kocher</w:t>
            </w:r>
          </w:p>
          <w:p w:rsidR="00FA0777" w:rsidRPr="00F856EB" w:rsidRDefault="00FA0777" w:rsidP="00525E51">
            <w:pPr>
              <w:pStyle w:val="Lijstaline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Gaasjes/wattenstokjes</w:t>
            </w:r>
          </w:p>
        </w:tc>
      </w:tr>
    </w:tbl>
    <w:p w:rsidR="008A6426" w:rsidRPr="00D96045" w:rsidRDefault="008A6426" w:rsidP="008A6426">
      <w:pPr>
        <w:spacing w:after="0"/>
        <w:rPr>
          <w:sz w:val="24"/>
          <w:szCs w:val="24"/>
        </w:rPr>
      </w:pPr>
    </w:p>
    <w:p w:rsidR="00275087" w:rsidRDefault="00E52EB4">
      <w:pPr>
        <w:rPr>
          <w:b/>
        </w:rPr>
      </w:pPr>
      <w:r>
        <w:rPr>
          <w:b/>
        </w:rPr>
        <w:t>Literatuur:</w:t>
      </w:r>
    </w:p>
    <w:p w:rsidR="00FF0596" w:rsidRPr="007A4EE2" w:rsidRDefault="00FF0596" w:rsidP="00FF0596">
      <w:pPr>
        <w:pStyle w:val="Lijstalinea"/>
        <w:numPr>
          <w:ilvl w:val="0"/>
          <w:numId w:val="9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Nicolien van </w:t>
      </w:r>
      <w:proofErr w:type="spellStart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Halem</w:t>
      </w:r>
      <w:proofErr w:type="spellEnd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 &amp; IJ.D. </w:t>
      </w:r>
      <w:proofErr w:type="spellStart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Jungen</w:t>
      </w:r>
      <w:proofErr w:type="spellEnd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, Anatomie en fysiologie (2009) </w:t>
      </w:r>
    </w:p>
    <w:p w:rsidR="00FF0596" w:rsidRPr="007A4EE2" w:rsidRDefault="00FF0596" w:rsidP="00FF0596">
      <w:pPr>
        <w:pStyle w:val="Lijstalinea"/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J. </w:t>
      </w:r>
      <w:proofErr w:type="spellStart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Glerum</w:t>
      </w:r>
      <w:proofErr w:type="spellEnd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, A. de Reuver &amp; </w:t>
      </w:r>
      <w:proofErr w:type="spellStart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C.Wall</w:t>
      </w:r>
      <w:proofErr w:type="spellEnd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, Medisch technisch handelen, diagnostiek en onderzoek (2002) </w:t>
      </w:r>
    </w:p>
    <w:p w:rsidR="00132E9F" w:rsidRPr="007A4EE2" w:rsidRDefault="00132E9F" w:rsidP="00FF0596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K. Kok, Anatomie, fysiologie en pathologie (2012)</w:t>
      </w:r>
    </w:p>
    <w:p w:rsidR="00132E9F" w:rsidRPr="007A4EE2" w:rsidRDefault="00132E9F" w:rsidP="00FF0596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Sandra F. Smith, Donna </w:t>
      </w:r>
      <w:proofErr w:type="spellStart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Duell</w:t>
      </w:r>
      <w:proofErr w:type="spellEnd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 &amp; Barbara C. Martin, Verpleegkundige vaardigheden - Deel 1 (2011)</w:t>
      </w:r>
    </w:p>
    <w:p w:rsidR="00132E9F" w:rsidRPr="007A4EE2" w:rsidRDefault="00132E9F" w:rsidP="00FF0596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proofErr w:type="spellStart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>Vilans</w:t>
      </w:r>
      <w:proofErr w:type="spellEnd"/>
      <w:r w:rsidRPr="007A4EE2">
        <w:rPr>
          <w:rFonts w:ascii="Century Gothic" w:eastAsia="Times New Roman" w:hAnsi="Century Gothic"/>
          <w:sz w:val="20"/>
          <w:szCs w:val="20"/>
          <w:lang w:eastAsia="nl-NL"/>
        </w:rPr>
        <w:t xml:space="preserve"> protocollen</w:t>
      </w:r>
    </w:p>
    <w:p w:rsidR="00E52EB4" w:rsidRPr="007A4EE2" w:rsidRDefault="00E52EB4">
      <w:pPr>
        <w:rPr>
          <w:b/>
        </w:rPr>
      </w:pPr>
    </w:p>
    <w:sectPr w:rsidR="00E52EB4" w:rsidRPr="007A4EE2" w:rsidSect="0042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EB5"/>
    <w:multiLevelType w:val="hybridMultilevel"/>
    <w:tmpl w:val="1D3CC7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43FEC"/>
    <w:multiLevelType w:val="hybridMultilevel"/>
    <w:tmpl w:val="F01616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15032"/>
    <w:multiLevelType w:val="multilevel"/>
    <w:tmpl w:val="8E66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391584B"/>
    <w:multiLevelType w:val="multilevel"/>
    <w:tmpl w:val="0DC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7663"/>
    <w:multiLevelType w:val="hybridMultilevel"/>
    <w:tmpl w:val="F52AD1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D140F"/>
    <w:multiLevelType w:val="multilevel"/>
    <w:tmpl w:val="86284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D0672"/>
    <w:multiLevelType w:val="hybridMultilevel"/>
    <w:tmpl w:val="C84C9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D1B57"/>
    <w:multiLevelType w:val="hybridMultilevel"/>
    <w:tmpl w:val="F970F0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21477"/>
    <w:multiLevelType w:val="hybridMultilevel"/>
    <w:tmpl w:val="A792FA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9B73B2"/>
    <w:multiLevelType w:val="hybridMultilevel"/>
    <w:tmpl w:val="86284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47B3A"/>
    <w:multiLevelType w:val="hybridMultilevel"/>
    <w:tmpl w:val="799E1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00C7E"/>
    <w:multiLevelType w:val="hybridMultilevel"/>
    <w:tmpl w:val="AD2E4B4A"/>
    <w:lvl w:ilvl="0" w:tplc="AFBE827A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6003"/>
    <w:multiLevelType w:val="hybridMultilevel"/>
    <w:tmpl w:val="314813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C1603"/>
    <w:multiLevelType w:val="multilevel"/>
    <w:tmpl w:val="8E66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A881189"/>
    <w:multiLevelType w:val="hybridMultilevel"/>
    <w:tmpl w:val="DC9C0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426"/>
    <w:rsid w:val="00004D81"/>
    <w:rsid w:val="00132E9F"/>
    <w:rsid w:val="00183C3D"/>
    <w:rsid w:val="001E26F8"/>
    <w:rsid w:val="001F7BEB"/>
    <w:rsid w:val="002C5801"/>
    <w:rsid w:val="004F7F24"/>
    <w:rsid w:val="00525E51"/>
    <w:rsid w:val="0052615E"/>
    <w:rsid w:val="00536C08"/>
    <w:rsid w:val="005C07A9"/>
    <w:rsid w:val="00634326"/>
    <w:rsid w:val="006764DE"/>
    <w:rsid w:val="0071517A"/>
    <w:rsid w:val="007A4EE2"/>
    <w:rsid w:val="008A6426"/>
    <w:rsid w:val="009074D3"/>
    <w:rsid w:val="009300F0"/>
    <w:rsid w:val="0094667C"/>
    <w:rsid w:val="009B6159"/>
    <w:rsid w:val="00A664C2"/>
    <w:rsid w:val="00AC60E7"/>
    <w:rsid w:val="00AD7125"/>
    <w:rsid w:val="00B553AC"/>
    <w:rsid w:val="00B94DDA"/>
    <w:rsid w:val="00BD62C6"/>
    <w:rsid w:val="00C20782"/>
    <w:rsid w:val="00D52511"/>
    <w:rsid w:val="00E52EB4"/>
    <w:rsid w:val="00F62244"/>
    <w:rsid w:val="00F737A4"/>
    <w:rsid w:val="00F856EB"/>
    <w:rsid w:val="00FA0777"/>
    <w:rsid w:val="00F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26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13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4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32E9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 schulten</dc:creator>
  <cp:lastModifiedBy>Nadine</cp:lastModifiedBy>
  <cp:revision>11</cp:revision>
  <dcterms:created xsi:type="dcterms:W3CDTF">2016-02-03T12:43:00Z</dcterms:created>
  <dcterms:modified xsi:type="dcterms:W3CDTF">2016-02-11T22:21:00Z</dcterms:modified>
</cp:coreProperties>
</file>